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0C94" w14:textId="32E423A6" w:rsidR="00A9169E" w:rsidRPr="0076656D" w:rsidRDefault="006A4814" w:rsidP="006A4814">
      <w:pPr>
        <w:snapToGrid w:val="0"/>
        <w:spacing w:after="0"/>
        <w:rPr>
          <w:rFonts w:ascii="Verdana" w:hAnsi="Verdana"/>
          <w:b/>
          <w:sz w:val="24"/>
          <w:szCs w:val="24"/>
        </w:rPr>
      </w:pPr>
      <w:r w:rsidRPr="006A4814">
        <w:rPr>
          <w:rFonts w:ascii="Verdana" w:hAnsi="Verdana"/>
          <w:b/>
          <w:sz w:val="24"/>
          <w:szCs w:val="24"/>
        </w:rPr>
        <w:t xml:space="preserve">„Citus“ planuoja projektą Naujamiestyje – </w:t>
      </w:r>
      <w:r>
        <w:rPr>
          <w:rFonts w:ascii="Verdana" w:hAnsi="Verdana"/>
          <w:b/>
          <w:sz w:val="24"/>
          <w:szCs w:val="24"/>
        </w:rPr>
        <w:t xml:space="preserve">iki </w:t>
      </w:r>
      <w:r w:rsidRPr="006A4814">
        <w:rPr>
          <w:rFonts w:ascii="Verdana" w:hAnsi="Verdana"/>
          <w:b/>
          <w:sz w:val="24"/>
          <w:szCs w:val="24"/>
        </w:rPr>
        <w:t>kitų metų vidur</w:t>
      </w:r>
      <w:r>
        <w:rPr>
          <w:rFonts w:ascii="Verdana" w:hAnsi="Verdana"/>
          <w:b/>
          <w:sz w:val="24"/>
          <w:szCs w:val="24"/>
        </w:rPr>
        <w:t xml:space="preserve">io pirkėjams pasiūlys </w:t>
      </w:r>
      <w:r w:rsidRPr="006A4814">
        <w:rPr>
          <w:rFonts w:ascii="Verdana" w:hAnsi="Verdana"/>
          <w:b/>
          <w:sz w:val="24"/>
          <w:szCs w:val="24"/>
        </w:rPr>
        <w:t>250 būstų</w:t>
      </w:r>
    </w:p>
    <w:p w14:paraId="46D0FC66" w14:textId="6279B471" w:rsidR="00C35436" w:rsidRPr="0076656D" w:rsidRDefault="00B41BA4" w:rsidP="0017754C">
      <w:pPr>
        <w:snapToGrid w:val="0"/>
        <w:spacing w:after="0"/>
        <w:jc w:val="left"/>
        <w:rPr>
          <w:rFonts w:ascii="Verdana" w:hAnsi="Verdana" w:cs="Open Sans Light"/>
          <w:i/>
          <w:color w:val="000000" w:themeColor="text1"/>
          <w:sz w:val="16"/>
          <w:szCs w:val="16"/>
        </w:rPr>
      </w:pPr>
      <w:r w:rsidRPr="0076656D">
        <w:rPr>
          <w:rFonts w:ascii="Verdana" w:hAnsi="Verdana" w:cs="Open Sans Light"/>
          <w:i/>
          <w:color w:val="000000" w:themeColor="text1"/>
          <w:sz w:val="16"/>
          <w:szCs w:val="16"/>
        </w:rPr>
        <w:t>202</w:t>
      </w:r>
      <w:r w:rsidR="00E974DE" w:rsidRPr="0076656D">
        <w:rPr>
          <w:rFonts w:ascii="Verdana" w:hAnsi="Verdana" w:cs="Open Sans Light"/>
          <w:i/>
          <w:color w:val="000000" w:themeColor="text1"/>
          <w:sz w:val="16"/>
          <w:szCs w:val="16"/>
        </w:rPr>
        <w:t>5</w:t>
      </w:r>
      <w:r w:rsidRPr="0076656D">
        <w:rPr>
          <w:rFonts w:ascii="Verdana" w:hAnsi="Verdana" w:cs="Open Sans Light"/>
          <w:i/>
          <w:color w:val="000000" w:themeColor="text1"/>
          <w:sz w:val="16"/>
          <w:szCs w:val="16"/>
        </w:rPr>
        <w:t xml:space="preserve"> m. </w:t>
      </w:r>
      <w:r w:rsidR="00282D53" w:rsidRPr="0076656D">
        <w:rPr>
          <w:rFonts w:ascii="Verdana" w:hAnsi="Verdana" w:cs="Open Sans Light"/>
          <w:i/>
          <w:color w:val="000000" w:themeColor="text1"/>
          <w:sz w:val="16"/>
          <w:szCs w:val="16"/>
        </w:rPr>
        <w:t>balandžio</w:t>
      </w:r>
      <w:r w:rsidRPr="0076656D">
        <w:rPr>
          <w:rFonts w:ascii="Verdana" w:hAnsi="Verdana" w:cs="Open Sans Light"/>
          <w:i/>
          <w:color w:val="000000" w:themeColor="text1"/>
          <w:sz w:val="16"/>
          <w:szCs w:val="16"/>
        </w:rPr>
        <w:t xml:space="preserve"> </w:t>
      </w:r>
      <w:r w:rsidR="006A4814">
        <w:rPr>
          <w:rFonts w:ascii="Verdana" w:hAnsi="Verdana" w:cs="Open Sans Light"/>
          <w:i/>
          <w:color w:val="000000" w:themeColor="text1"/>
          <w:sz w:val="16"/>
          <w:szCs w:val="16"/>
        </w:rPr>
        <w:t>3</w:t>
      </w:r>
      <w:r w:rsidRPr="0076656D">
        <w:rPr>
          <w:rFonts w:ascii="Verdana" w:hAnsi="Verdana" w:cs="Open Sans Light"/>
          <w:i/>
          <w:color w:val="000000" w:themeColor="text1"/>
          <w:sz w:val="16"/>
          <w:szCs w:val="16"/>
        </w:rPr>
        <w:t xml:space="preserve"> d.</w:t>
      </w:r>
    </w:p>
    <w:p w14:paraId="5AB90836" w14:textId="77777777" w:rsidR="0012235E" w:rsidRPr="0076656D" w:rsidRDefault="0012235E" w:rsidP="0017754C">
      <w:pPr>
        <w:snapToGrid w:val="0"/>
        <w:spacing w:after="0"/>
        <w:jc w:val="left"/>
        <w:rPr>
          <w:rFonts w:ascii="Verdana" w:hAnsi="Verdana" w:cs="Open Sans Light"/>
          <w:i/>
          <w:color w:val="000000" w:themeColor="text1"/>
          <w:sz w:val="16"/>
          <w:szCs w:val="16"/>
        </w:rPr>
      </w:pPr>
    </w:p>
    <w:p w14:paraId="709DF5B1" w14:textId="7D24F626" w:rsidR="006A4814" w:rsidRPr="006A4814" w:rsidRDefault="006A4814" w:rsidP="006A4814">
      <w:pPr>
        <w:rPr>
          <w:rFonts w:ascii="Verdana" w:hAnsi="Verdana"/>
          <w:b/>
          <w:bCs/>
          <w:sz w:val="18"/>
          <w:szCs w:val="18"/>
        </w:rPr>
      </w:pPr>
      <w:r w:rsidRPr="006A4814">
        <w:rPr>
          <w:rFonts w:ascii="Verdana" w:hAnsi="Verdana"/>
          <w:b/>
          <w:bCs/>
          <w:sz w:val="18"/>
          <w:szCs w:val="18"/>
        </w:rPr>
        <w:t xml:space="preserve">Atsinaujinančioje ir aktyviai plėtojamoje lokacijoje Naujamiestyje, tarp Panerių ir Naugarduko gatvių, adresu Panerių g. 49 kitais metais </w:t>
      </w:r>
      <w:r w:rsidR="00077BD8">
        <w:rPr>
          <w:rFonts w:ascii="Verdana" w:hAnsi="Verdana"/>
          <w:b/>
          <w:bCs/>
          <w:sz w:val="18"/>
          <w:szCs w:val="18"/>
        </w:rPr>
        <w:t xml:space="preserve">kūrybiškų NT projektų ir vietokūros kompanija </w:t>
      </w:r>
      <w:r w:rsidRPr="006A4814">
        <w:rPr>
          <w:rFonts w:ascii="Verdana" w:hAnsi="Verdana"/>
          <w:b/>
          <w:bCs/>
          <w:sz w:val="18"/>
          <w:szCs w:val="18"/>
        </w:rPr>
        <w:t>„Citus“ pradės naują projektą. Neseniai įmonių grupės „Vanagas Group“, kuriai priklauso ir „Citus“ įmonių grupė, įsigytame sklype planuojamas dviejų etapų kvartalas su dideliu uždaru kiemu.</w:t>
      </w:r>
    </w:p>
    <w:p w14:paraId="76E78CBF" w14:textId="5EA630E2" w:rsidR="006A4814" w:rsidRPr="006A4814" w:rsidRDefault="006A4814" w:rsidP="006A4814">
      <w:pPr>
        <w:rPr>
          <w:rFonts w:ascii="Verdana" w:hAnsi="Verdana"/>
          <w:sz w:val="18"/>
          <w:szCs w:val="18"/>
        </w:rPr>
      </w:pPr>
      <w:r w:rsidRPr="006A4814">
        <w:rPr>
          <w:rFonts w:ascii="Verdana" w:hAnsi="Verdana"/>
          <w:sz w:val="18"/>
          <w:szCs w:val="18"/>
        </w:rPr>
        <w:t xml:space="preserve">„Šiuo metu ruošiamės plėtrai ir dėliojame ne tik šių, bet ir kitų metų investicinius planus. Rinkai, norint išlaikyti pasiūlos ir paklausos balansą, tvarų augimą, reikia naujų būstų, todėl ieškome naujų galimybių plėtrai. Su projektu dirba stipri SP architektų grupė, vedama žinomo architekto Sauliaus </w:t>
      </w:r>
      <w:proofErr w:type="spellStart"/>
      <w:r w:rsidRPr="006A4814">
        <w:rPr>
          <w:rFonts w:ascii="Verdana" w:hAnsi="Verdana"/>
          <w:sz w:val="18"/>
          <w:szCs w:val="18"/>
        </w:rPr>
        <w:t>Pamerneckio</w:t>
      </w:r>
      <w:proofErr w:type="spellEnd"/>
      <w:r w:rsidRPr="006A4814">
        <w:rPr>
          <w:rFonts w:ascii="Verdana" w:hAnsi="Verdana"/>
          <w:sz w:val="18"/>
          <w:szCs w:val="18"/>
        </w:rPr>
        <w:t xml:space="preserve"> ir </w:t>
      </w:r>
      <w:r w:rsidR="003B2F6B">
        <w:rPr>
          <w:rFonts w:ascii="Verdana" w:hAnsi="Verdana"/>
          <w:sz w:val="18"/>
          <w:szCs w:val="18"/>
        </w:rPr>
        <w:t>jau</w:t>
      </w:r>
      <w:r w:rsidRPr="006A4814">
        <w:rPr>
          <w:rFonts w:ascii="Verdana" w:hAnsi="Verdana"/>
          <w:sz w:val="18"/>
          <w:szCs w:val="18"/>
        </w:rPr>
        <w:t xml:space="preserve"> </w:t>
      </w:r>
      <w:r w:rsidR="003B2F6B">
        <w:rPr>
          <w:rFonts w:ascii="Verdana" w:hAnsi="Verdana"/>
          <w:sz w:val="18"/>
          <w:szCs w:val="18"/>
        </w:rPr>
        <w:t>yra</w:t>
      </w:r>
      <w:r w:rsidRPr="006A4814">
        <w:rPr>
          <w:rFonts w:ascii="Verdana" w:hAnsi="Verdana"/>
          <w:sz w:val="18"/>
          <w:szCs w:val="18"/>
        </w:rPr>
        <w:t xml:space="preserve"> gautas Regioninės architektų tarybos ekspertų pritarimas, patvirtinti </w:t>
      </w:r>
      <w:proofErr w:type="spellStart"/>
      <w:r w:rsidRPr="006A4814">
        <w:rPr>
          <w:rFonts w:ascii="Verdana" w:hAnsi="Verdana"/>
          <w:sz w:val="18"/>
          <w:szCs w:val="18"/>
        </w:rPr>
        <w:t>priešprojektiniai</w:t>
      </w:r>
      <w:proofErr w:type="spellEnd"/>
      <w:r w:rsidRPr="006A4814">
        <w:rPr>
          <w:rFonts w:ascii="Verdana" w:hAnsi="Verdana"/>
          <w:sz w:val="18"/>
          <w:szCs w:val="18"/>
        </w:rPr>
        <w:t xml:space="preserve"> pasiūlymai, gauti specialieji architektūriniai reikalavimai. Taigi, teliko užbaigti projektavimą, gauti statybos leidimą ir pradėti darbus“, – sako „Citus“ investicijų direktorius Šarūnas Tarutis.</w:t>
      </w:r>
    </w:p>
    <w:p w14:paraId="2C0F688F" w14:textId="1929DCB4" w:rsidR="006A4814" w:rsidRPr="006A4814" w:rsidRDefault="006A4814" w:rsidP="006A4814">
      <w:pPr>
        <w:rPr>
          <w:rFonts w:ascii="Verdana" w:hAnsi="Verdana"/>
          <w:sz w:val="18"/>
          <w:szCs w:val="18"/>
        </w:rPr>
      </w:pPr>
      <w:r w:rsidRPr="006A4814">
        <w:rPr>
          <w:rFonts w:ascii="Verdana" w:hAnsi="Verdana"/>
          <w:sz w:val="18"/>
          <w:szCs w:val="18"/>
        </w:rPr>
        <w:t>Statybų ir pardavimų pradžia numatoma kitų metų antrą–trečią ketvirtį</w:t>
      </w:r>
      <w:r>
        <w:rPr>
          <w:rFonts w:ascii="Verdana" w:hAnsi="Verdana"/>
          <w:sz w:val="18"/>
          <w:szCs w:val="18"/>
        </w:rPr>
        <w:t xml:space="preserve">; statybas valdys grupės įmonė „Citus </w:t>
      </w:r>
      <w:proofErr w:type="spellStart"/>
      <w:r>
        <w:rPr>
          <w:rFonts w:ascii="Verdana" w:hAnsi="Verdana"/>
          <w:sz w:val="18"/>
          <w:szCs w:val="18"/>
        </w:rPr>
        <w:t>Construction</w:t>
      </w:r>
      <w:proofErr w:type="spellEnd"/>
      <w:r>
        <w:rPr>
          <w:rFonts w:ascii="Verdana" w:hAnsi="Verdana"/>
          <w:sz w:val="18"/>
          <w:szCs w:val="18"/>
        </w:rPr>
        <w:t>“</w:t>
      </w:r>
      <w:r w:rsidRPr="006A4814">
        <w:rPr>
          <w:rFonts w:ascii="Verdana" w:hAnsi="Verdana"/>
          <w:sz w:val="18"/>
          <w:szCs w:val="18"/>
        </w:rPr>
        <w:t xml:space="preserve">. Prognozuojama, kad projektas pareikalaus beveik 36 mln. Eur investicijų. Dalis jų gali būti finansuojamos iš šiuo metu grupės įmonės „Vanagas </w:t>
      </w:r>
      <w:proofErr w:type="spellStart"/>
      <w:r w:rsidRPr="006A4814">
        <w:rPr>
          <w:rFonts w:ascii="Verdana" w:hAnsi="Verdana"/>
          <w:sz w:val="18"/>
          <w:szCs w:val="18"/>
        </w:rPr>
        <w:t>Asset</w:t>
      </w:r>
      <w:proofErr w:type="spellEnd"/>
      <w:r w:rsidRPr="006A4814">
        <w:rPr>
          <w:rFonts w:ascii="Verdana" w:hAnsi="Verdana"/>
          <w:sz w:val="18"/>
          <w:szCs w:val="18"/>
        </w:rPr>
        <w:t xml:space="preserve"> </w:t>
      </w:r>
      <w:proofErr w:type="spellStart"/>
      <w:r w:rsidRPr="006A4814">
        <w:rPr>
          <w:rFonts w:ascii="Verdana" w:hAnsi="Verdana"/>
          <w:sz w:val="18"/>
          <w:szCs w:val="18"/>
        </w:rPr>
        <w:t>Management</w:t>
      </w:r>
      <w:proofErr w:type="spellEnd"/>
      <w:r w:rsidRPr="006A4814">
        <w:rPr>
          <w:rFonts w:ascii="Verdana" w:hAnsi="Verdana"/>
          <w:sz w:val="18"/>
          <w:szCs w:val="18"/>
        </w:rPr>
        <w:t>“ pradėtos platinti obligacijų emisijos.</w:t>
      </w:r>
    </w:p>
    <w:p w14:paraId="662B0273" w14:textId="77777777" w:rsidR="006A4814" w:rsidRPr="006A4814" w:rsidRDefault="006A4814" w:rsidP="006A4814">
      <w:pPr>
        <w:rPr>
          <w:rFonts w:ascii="Verdana" w:hAnsi="Verdana"/>
          <w:sz w:val="18"/>
          <w:szCs w:val="18"/>
        </w:rPr>
      </w:pPr>
      <w:r w:rsidRPr="006A4814">
        <w:rPr>
          <w:rFonts w:ascii="Verdana" w:hAnsi="Verdana"/>
          <w:sz w:val="18"/>
          <w:szCs w:val="18"/>
        </w:rPr>
        <w:t>Viso projekte numatyti 3 aukščiausios, A++ energinės klasės, 5–9 aukštų pastatai. Dviem etapais jame bus pristatyta apie 250 aukštesnės vidutinės klasės butų ir apartamentų. Vienas iš pastatų numatomas devynių aukštų – iš viršutinių atsivers plačios Naujamiesčio panoramos.</w:t>
      </w:r>
    </w:p>
    <w:p w14:paraId="1B09E114" w14:textId="77777777" w:rsidR="006A4814" w:rsidRPr="006A4814" w:rsidRDefault="006A4814" w:rsidP="006A4814">
      <w:pPr>
        <w:rPr>
          <w:rFonts w:ascii="Verdana" w:hAnsi="Verdana"/>
          <w:sz w:val="18"/>
          <w:szCs w:val="18"/>
        </w:rPr>
      </w:pPr>
      <w:r w:rsidRPr="006A4814">
        <w:rPr>
          <w:rFonts w:ascii="Verdana" w:hAnsi="Verdana"/>
          <w:sz w:val="18"/>
          <w:szCs w:val="18"/>
        </w:rPr>
        <w:t>Ilgalaikėje perspektyvoje išliks aukštas būstų nuomai poreikis, kalba Š. Tarutis, todėl projektas turėtų būti patrauklus tarp investuotojų. Viename etape planuojama, kad 30 proc. sudarys 1 ir 1,5 kamb., 28–38 kv. m ploto, 60 proc. – 2 kamb., 45–54 kv. m ploto, o likusius 10 proc. – 3 kamb., 57–58 kv. m ploto būstai.</w:t>
      </w:r>
    </w:p>
    <w:p w14:paraId="650C73EF" w14:textId="77777777" w:rsidR="006A4814" w:rsidRPr="006A4814" w:rsidRDefault="006A4814" w:rsidP="006A4814">
      <w:pPr>
        <w:rPr>
          <w:rFonts w:ascii="Verdana" w:hAnsi="Verdana"/>
          <w:sz w:val="18"/>
          <w:szCs w:val="18"/>
        </w:rPr>
      </w:pPr>
      <w:r w:rsidRPr="006A4814">
        <w:rPr>
          <w:rFonts w:ascii="Verdana" w:hAnsi="Verdana"/>
          <w:sz w:val="18"/>
          <w:szCs w:val="18"/>
        </w:rPr>
        <w:t>Kitame etape bus siūlomi erdvesni butai: didžiausi, 3 kamb., 50–75 kv. m ploto butai sudarys apie 30 proc., 1 ir 2 kamb. (atitinkamai, 32–35 ir 41–56 kv. m ploto) – beveik 60 proc. Dar didesnės erdvės ieškantys pirkėjai galės įsigyti 4 kamb., 71–85 kv. m plotą siekiančius butus.</w:t>
      </w:r>
    </w:p>
    <w:p w14:paraId="29C89674" w14:textId="77777777" w:rsidR="006A4814" w:rsidRPr="006A4814" w:rsidRDefault="006A4814" w:rsidP="006A4814">
      <w:pPr>
        <w:rPr>
          <w:rFonts w:ascii="Verdana" w:hAnsi="Verdana"/>
          <w:sz w:val="18"/>
          <w:szCs w:val="18"/>
        </w:rPr>
      </w:pPr>
      <w:r w:rsidRPr="006A4814">
        <w:rPr>
          <w:rFonts w:ascii="Verdana" w:hAnsi="Verdana"/>
          <w:sz w:val="18"/>
          <w:szCs w:val="18"/>
        </w:rPr>
        <w:t>Statomas plotas sieks apie 20 tūkst., naudingas plotas – apie 15,5 tūkst. kvadratinių metrų.</w:t>
      </w:r>
    </w:p>
    <w:p w14:paraId="0F40B8EF" w14:textId="77777777" w:rsidR="006A4814" w:rsidRPr="006A4814" w:rsidRDefault="006A4814" w:rsidP="006A4814">
      <w:pPr>
        <w:rPr>
          <w:rFonts w:ascii="Verdana" w:hAnsi="Verdana"/>
          <w:sz w:val="18"/>
          <w:szCs w:val="18"/>
        </w:rPr>
      </w:pPr>
      <w:r w:rsidRPr="006A4814">
        <w:rPr>
          <w:rFonts w:ascii="Verdana" w:hAnsi="Verdana"/>
          <w:sz w:val="18"/>
          <w:szCs w:val="18"/>
        </w:rPr>
        <w:t>Taip pat suprojektuota net apie 2 500 kv. metrų ploto erdvių verslui, taigi, čia galėtų įsikurti daug skirtingų gyventojams kasdien reikalingų parduotuvių ar paslaugų teikimo vietų.</w:t>
      </w:r>
    </w:p>
    <w:p w14:paraId="410365AB" w14:textId="77777777" w:rsidR="006A4814" w:rsidRPr="006A4814" w:rsidRDefault="006A4814" w:rsidP="006A4814">
      <w:pPr>
        <w:rPr>
          <w:rFonts w:ascii="Verdana" w:hAnsi="Verdana"/>
          <w:sz w:val="18"/>
          <w:szCs w:val="18"/>
        </w:rPr>
      </w:pPr>
      <w:r w:rsidRPr="006A4814">
        <w:rPr>
          <w:rFonts w:ascii="Verdana" w:hAnsi="Verdana"/>
          <w:sz w:val="18"/>
          <w:szCs w:val="18"/>
        </w:rPr>
        <w:t>Projekte numatytas erdvus kiemas, gyventojų komfortą užtikrinsiantys dideli atstumai tarp pastatų. Tą padaryti leidžia projekto sprendiniai, kuriais nebuvo siekiama didžiausių galimų bendrajame plane numatytų norminių užstatymo intensyvumo bei užstatymo tankio ribų.</w:t>
      </w:r>
    </w:p>
    <w:p w14:paraId="3A60177B" w14:textId="77777777" w:rsidR="006A4814" w:rsidRPr="006A4814" w:rsidRDefault="006A4814" w:rsidP="006A4814">
      <w:pPr>
        <w:rPr>
          <w:rFonts w:ascii="Verdana" w:hAnsi="Verdana"/>
          <w:sz w:val="18"/>
          <w:szCs w:val="18"/>
        </w:rPr>
      </w:pPr>
      <w:r w:rsidRPr="006A4814">
        <w:rPr>
          <w:rFonts w:ascii="Verdana" w:hAnsi="Verdana"/>
          <w:sz w:val="18"/>
          <w:szCs w:val="18"/>
        </w:rPr>
        <w:t xml:space="preserve">„Kurdami projektą judrioje, bet, tuo pačiu, labai perspektyvioje ir patrauklioje vietoje reagavome į jį supsiančią aplinką. Pirmiausia, sprendiniuose aiškiai išskyrėme privačias gyventojų ir išorines viešąsias erdves, suformavome didelį privatų kiemą. Tuo pačiu užtikrinome vizualinį ryšį tarp projekto aplinkos ir greta, už projekto ribų planuojamos atviros ir visiems prieinamos erdvės. Joje numatomi skulptūriniai–meniniai akcentai bei apželdinimo sprendiniai papildys miesto ir šio projekto aplinką“, – sako projekto architektas, SP architektų grupės vadovas Saulius </w:t>
      </w:r>
      <w:proofErr w:type="spellStart"/>
      <w:r w:rsidRPr="006A4814">
        <w:rPr>
          <w:rFonts w:ascii="Verdana" w:hAnsi="Verdana"/>
          <w:sz w:val="18"/>
          <w:szCs w:val="18"/>
        </w:rPr>
        <w:t>Pamerneckis</w:t>
      </w:r>
      <w:proofErr w:type="spellEnd"/>
      <w:r w:rsidRPr="006A4814">
        <w:rPr>
          <w:rFonts w:ascii="Verdana" w:hAnsi="Verdana"/>
          <w:sz w:val="18"/>
          <w:szCs w:val="18"/>
        </w:rPr>
        <w:t>.</w:t>
      </w:r>
    </w:p>
    <w:p w14:paraId="3DD1A7CF" w14:textId="137192AB" w:rsidR="002054A3" w:rsidRPr="006A4814" w:rsidRDefault="006A4814" w:rsidP="006A4814">
      <w:pPr>
        <w:rPr>
          <w:rFonts w:ascii="Verdana" w:hAnsi="Verdana"/>
          <w:i/>
          <w:iCs/>
          <w:sz w:val="18"/>
        </w:rPr>
      </w:pPr>
      <w:r w:rsidRPr="006A4814">
        <w:rPr>
          <w:rFonts w:ascii="Verdana" w:hAnsi="Verdana"/>
          <w:sz w:val="18"/>
          <w:szCs w:val="18"/>
        </w:rPr>
        <w:t>Būsimas projektas planuojamas strategiškai patogioje lokacijoje: greta yra svarbios Tūkstantmečio, Naugarduko (kuria galima tiesiai pasiekti Senamiestį) gatvės, aplinkui yra prekybos, verslo centrų, mokyklų. Tai šiuo metu didžiausiu potencialu ir gera perspektyva pasižyminti Naujamiesčio dalis, kuri intensyviai atsinaujina, naujiems būsto ir verslo projektams atgaivinant anksčiau čia buvusias pramonines zonas.</w:t>
      </w:r>
    </w:p>
    <w:p w14:paraId="558C78C5" w14:textId="77777777" w:rsidR="002B447A" w:rsidRPr="0076656D" w:rsidRDefault="002B447A" w:rsidP="0017754C">
      <w:pPr>
        <w:pBdr>
          <w:bottom w:val="single" w:sz="8" w:space="1" w:color="FFC000"/>
        </w:pBdr>
        <w:rPr>
          <w:rFonts w:ascii="Verdana" w:hAnsi="Verdana"/>
          <w:sz w:val="18"/>
          <w:szCs w:val="20"/>
        </w:rPr>
      </w:pPr>
    </w:p>
    <w:p w14:paraId="75AE99DB" w14:textId="4DB54D44" w:rsidR="004137F3" w:rsidRPr="0076656D" w:rsidRDefault="001B4689" w:rsidP="0081024D">
      <w:pPr>
        <w:spacing w:after="100" w:afterAutospacing="1"/>
        <w:contextualSpacing/>
        <w:mirrorIndents/>
        <w:outlineLvl w:val="0"/>
        <w:rPr>
          <w:rFonts w:ascii="Verdana" w:hAnsi="Verdana" w:cstheme="majorHAnsi"/>
          <w:b/>
          <w:sz w:val="18"/>
          <w:szCs w:val="18"/>
          <w:shd w:val="clear" w:color="auto" w:fill="FFFFFF"/>
        </w:rPr>
      </w:pPr>
      <w:r w:rsidRPr="0076656D">
        <w:rPr>
          <w:rFonts w:ascii="Verdana" w:hAnsi="Verdana" w:cstheme="majorHAnsi"/>
          <w:b/>
          <w:sz w:val="18"/>
          <w:szCs w:val="18"/>
          <w:shd w:val="clear" w:color="auto" w:fill="FFFFFF"/>
        </w:rPr>
        <w:br/>
      </w:r>
    </w:p>
    <w:p w14:paraId="3187DF5B" w14:textId="77777777" w:rsidR="0081024D" w:rsidRPr="0076656D"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76656D">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76656D">
        <w:rPr>
          <w:rFonts w:ascii="Verdana" w:hAnsi="Verdana" w:cs="Open Sans Light"/>
          <w:sz w:val="15"/>
          <w:szCs w:val="15"/>
          <w:lang w:eastAsia="lt-LT"/>
        </w:rPr>
        <w:t>Rytas Stalnionis</w:t>
      </w:r>
      <w:r w:rsidRPr="0076656D">
        <w:rPr>
          <w:rFonts w:ascii="Verdana" w:hAnsi="Verdana" w:cs="Open Sans Light"/>
          <w:sz w:val="15"/>
          <w:szCs w:val="15"/>
          <w:lang w:eastAsia="lt-LT"/>
        </w:rPr>
        <w:br/>
        <w:t>Komunikacijos vadovas</w:t>
      </w:r>
      <w:r w:rsidRPr="0076656D">
        <w:rPr>
          <w:rFonts w:ascii="Verdana" w:hAnsi="Verdana" w:cs="Open Sans Light"/>
          <w:sz w:val="15"/>
          <w:szCs w:val="15"/>
          <w:lang w:eastAsia="lt-LT"/>
        </w:rPr>
        <w:br/>
        <w:t>Tel.: +370 614 01829</w:t>
      </w:r>
      <w:r w:rsidRPr="0076656D">
        <w:rPr>
          <w:rFonts w:ascii="Verdana" w:hAnsi="Verdana" w:cs="Open Sans Light"/>
          <w:sz w:val="15"/>
          <w:szCs w:val="15"/>
          <w:lang w:eastAsia="lt-LT"/>
        </w:rPr>
        <w:br/>
        <w:t xml:space="preserve">El. paštas </w:t>
      </w:r>
      <w:hyperlink r:id="rId8" w:history="1">
        <w:r w:rsidRPr="0076656D">
          <w:rPr>
            <w:rStyle w:val="Hyperlink"/>
            <w:rFonts w:ascii="Verdana" w:hAnsi="Verdana" w:cs="Open Sans Light"/>
            <w:b/>
            <w:color w:val="3B3838" w:themeColor="background2" w:themeShade="40"/>
            <w:sz w:val="15"/>
            <w:szCs w:val="15"/>
            <w:u w:val="none"/>
            <w:lang w:eastAsia="lt-LT"/>
          </w:rPr>
          <w:t>rytas.stalnionis@citus.lt</w:t>
        </w:r>
      </w:hyperlink>
      <w:r w:rsidRPr="0076656D">
        <w:rPr>
          <w:rFonts w:ascii="Verdana" w:hAnsi="Verdana" w:cs="Open Sans Light"/>
          <w:sz w:val="15"/>
          <w:szCs w:val="15"/>
          <w:lang w:eastAsia="lt-LT"/>
        </w:rPr>
        <w:br/>
      </w:r>
      <w:hyperlink r:id="rId9" w:history="1">
        <w:r w:rsidRPr="0076656D">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4"/>
  </w:num>
  <w:num w:numId="3" w16cid:durableId="1815903907">
    <w:abstractNumId w:val="25"/>
  </w:num>
  <w:num w:numId="4" w16cid:durableId="1561406862">
    <w:abstractNumId w:val="28"/>
  </w:num>
  <w:num w:numId="5" w16cid:durableId="321006177">
    <w:abstractNumId w:val="21"/>
  </w:num>
  <w:num w:numId="6" w16cid:durableId="503938402">
    <w:abstractNumId w:val="18"/>
  </w:num>
  <w:num w:numId="7" w16cid:durableId="1758016345">
    <w:abstractNumId w:val="16"/>
  </w:num>
  <w:num w:numId="8" w16cid:durableId="2074308771">
    <w:abstractNumId w:val="9"/>
  </w:num>
  <w:num w:numId="9" w16cid:durableId="263540259">
    <w:abstractNumId w:val="19"/>
  </w:num>
  <w:num w:numId="10" w16cid:durableId="1759860241">
    <w:abstractNumId w:val="7"/>
  </w:num>
  <w:num w:numId="11" w16cid:durableId="813330766">
    <w:abstractNumId w:val="22"/>
  </w:num>
  <w:num w:numId="12" w16cid:durableId="1478958565">
    <w:abstractNumId w:val="13"/>
  </w:num>
  <w:num w:numId="13" w16cid:durableId="574709329">
    <w:abstractNumId w:val="27"/>
  </w:num>
  <w:num w:numId="14" w16cid:durableId="29310045">
    <w:abstractNumId w:val="4"/>
  </w:num>
  <w:num w:numId="15" w16cid:durableId="1947807562">
    <w:abstractNumId w:val="2"/>
  </w:num>
  <w:num w:numId="16" w16cid:durableId="2101025905">
    <w:abstractNumId w:val="23"/>
  </w:num>
  <w:num w:numId="17" w16cid:durableId="394011149">
    <w:abstractNumId w:val="26"/>
  </w:num>
  <w:num w:numId="18" w16cid:durableId="1758165198">
    <w:abstractNumId w:val="5"/>
  </w:num>
  <w:num w:numId="19" w16cid:durableId="836648520">
    <w:abstractNumId w:val="11"/>
  </w:num>
  <w:num w:numId="20" w16cid:durableId="120078200">
    <w:abstractNumId w:val="15"/>
  </w:num>
  <w:num w:numId="21" w16cid:durableId="562251221">
    <w:abstractNumId w:val="6"/>
  </w:num>
  <w:num w:numId="22" w16cid:durableId="1653556973">
    <w:abstractNumId w:val="8"/>
  </w:num>
  <w:num w:numId="23" w16cid:durableId="303893639">
    <w:abstractNumId w:val="14"/>
  </w:num>
  <w:num w:numId="24" w16cid:durableId="1997344683">
    <w:abstractNumId w:val="17"/>
  </w:num>
  <w:num w:numId="25" w16cid:durableId="1493328608">
    <w:abstractNumId w:val="0"/>
  </w:num>
  <w:num w:numId="26" w16cid:durableId="1410615241">
    <w:abstractNumId w:val="12"/>
  </w:num>
  <w:num w:numId="27" w16cid:durableId="564411746">
    <w:abstractNumId w:val="20"/>
  </w:num>
  <w:num w:numId="28" w16cid:durableId="617685256">
    <w:abstractNumId w:val="10"/>
  </w:num>
  <w:num w:numId="29" w16cid:durableId="599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1C5C"/>
    <w:rsid w:val="00075B5D"/>
    <w:rsid w:val="0007783D"/>
    <w:rsid w:val="00077B19"/>
    <w:rsid w:val="00077BD8"/>
    <w:rsid w:val="00077E4B"/>
    <w:rsid w:val="00080238"/>
    <w:rsid w:val="00082253"/>
    <w:rsid w:val="00086589"/>
    <w:rsid w:val="0008718D"/>
    <w:rsid w:val="00087E40"/>
    <w:rsid w:val="0009095D"/>
    <w:rsid w:val="00091988"/>
    <w:rsid w:val="00093117"/>
    <w:rsid w:val="00095090"/>
    <w:rsid w:val="00095A7F"/>
    <w:rsid w:val="0009618E"/>
    <w:rsid w:val="00097BCF"/>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5B30"/>
    <w:rsid w:val="00127DAE"/>
    <w:rsid w:val="001301F8"/>
    <w:rsid w:val="00131EEE"/>
    <w:rsid w:val="001352A6"/>
    <w:rsid w:val="00135A25"/>
    <w:rsid w:val="00141978"/>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4127"/>
    <w:rsid w:val="002C51AF"/>
    <w:rsid w:val="002C7B21"/>
    <w:rsid w:val="002D10D4"/>
    <w:rsid w:val="002D6044"/>
    <w:rsid w:val="002D6660"/>
    <w:rsid w:val="002E1ED9"/>
    <w:rsid w:val="002E41F0"/>
    <w:rsid w:val="002F6589"/>
    <w:rsid w:val="00303A18"/>
    <w:rsid w:val="00303B6E"/>
    <w:rsid w:val="00303E68"/>
    <w:rsid w:val="0030601D"/>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2F6B"/>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A4814"/>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51A4"/>
    <w:rsid w:val="007D794E"/>
    <w:rsid w:val="007E2DB6"/>
    <w:rsid w:val="007E5EDA"/>
    <w:rsid w:val="007E7C89"/>
    <w:rsid w:val="007F27B4"/>
    <w:rsid w:val="007F44B6"/>
    <w:rsid w:val="007F6E77"/>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69F2"/>
    <w:rsid w:val="008B763F"/>
    <w:rsid w:val="008C3BF9"/>
    <w:rsid w:val="008C46B5"/>
    <w:rsid w:val="008C5160"/>
    <w:rsid w:val="008C7171"/>
    <w:rsid w:val="008D2069"/>
    <w:rsid w:val="008D49ED"/>
    <w:rsid w:val="008E0EC4"/>
    <w:rsid w:val="008E69FB"/>
    <w:rsid w:val="008F0257"/>
    <w:rsid w:val="008F1B1C"/>
    <w:rsid w:val="008F33A5"/>
    <w:rsid w:val="008F65D9"/>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169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2BD9"/>
    <w:rsid w:val="00D04B9C"/>
    <w:rsid w:val="00D0526B"/>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E00E93"/>
    <w:rsid w:val="00E01261"/>
    <w:rsid w:val="00E04E81"/>
    <w:rsid w:val="00E05446"/>
    <w:rsid w:val="00E12364"/>
    <w:rsid w:val="00E12FA2"/>
    <w:rsid w:val="00E13EF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3F6A"/>
    <w:rsid w:val="00F25B9C"/>
    <w:rsid w:val="00F26C9E"/>
    <w:rsid w:val="00F27A39"/>
    <w:rsid w:val="00F27ACC"/>
    <w:rsid w:val="00F30134"/>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3500</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3</cp:revision>
  <cp:lastPrinted>2025-04-03T07:56:00Z</cp:lastPrinted>
  <dcterms:created xsi:type="dcterms:W3CDTF">2025-04-03T07:56:00Z</dcterms:created>
  <dcterms:modified xsi:type="dcterms:W3CDTF">2025-04-03T08:51:00Z</dcterms:modified>
</cp:coreProperties>
</file>